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296F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bookmarkStart w:id="0" w:name="_Hlk25230369"/>
      <w:bookmarkEnd w:id="0"/>
      <w:r w:rsidRPr="00B12C59">
        <w:rPr>
          <w:rFonts w:ascii="Garamond" w:hAnsi="Garamond" w:cs="Calibri"/>
          <w:b/>
          <w:noProof/>
          <w:sz w:val="32"/>
          <w:szCs w:val="32"/>
        </w:rPr>
        <w:drawing>
          <wp:inline distT="0" distB="0" distL="0" distR="0" wp14:anchorId="5CF2D4A8" wp14:editId="6AD50626">
            <wp:extent cx="162306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-IN_STATE_SE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6A30D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A6A0655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48"/>
          <w:szCs w:val="40"/>
        </w:rPr>
      </w:pPr>
      <w:r w:rsidRPr="00B12C59">
        <w:rPr>
          <w:rFonts w:ascii="Garamond" w:hAnsi="Garamond" w:cs="Calibri"/>
          <w:b/>
          <w:sz w:val="48"/>
          <w:szCs w:val="40"/>
        </w:rPr>
        <w:t>STATE OF INDIANA</w:t>
      </w:r>
    </w:p>
    <w:p w14:paraId="6081D83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704FF6E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6BF64EA" w14:textId="461657C9" w:rsidR="00183198" w:rsidRPr="00B12C59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B12C59">
        <w:rPr>
          <w:rFonts w:ascii="Garamond" w:hAnsi="Garamond" w:cs="Calibri"/>
          <w:b/>
          <w:sz w:val="40"/>
          <w:szCs w:val="40"/>
        </w:rPr>
        <w:t xml:space="preserve">Request for Proposal </w:t>
      </w:r>
      <w:r w:rsidR="005504FF" w:rsidRPr="005504FF">
        <w:rPr>
          <w:rFonts w:ascii="Garamond" w:hAnsi="Garamond" w:cs="Calibri"/>
          <w:b/>
          <w:sz w:val="40"/>
          <w:szCs w:val="40"/>
        </w:rPr>
        <w:t>20-041</w:t>
      </w:r>
    </w:p>
    <w:p w14:paraId="542DA9ED" w14:textId="77777777" w:rsidR="00183198" w:rsidRDefault="00183198" w:rsidP="00183198">
      <w:pPr>
        <w:jc w:val="center"/>
        <w:rPr>
          <w:rFonts w:ascii="Garamond" w:hAnsi="Garamond" w:cs="Calibri"/>
          <w:b/>
          <w:color w:val="FF0000"/>
          <w:sz w:val="32"/>
          <w:szCs w:val="32"/>
        </w:rPr>
      </w:pPr>
    </w:p>
    <w:p w14:paraId="378F47FD" w14:textId="0281026F" w:rsidR="00183198" w:rsidRPr="00183198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183198">
        <w:rPr>
          <w:rFonts w:ascii="Garamond" w:hAnsi="Garamond" w:cs="Calibri"/>
          <w:b/>
          <w:color w:val="FF0000"/>
          <w:sz w:val="40"/>
          <w:szCs w:val="40"/>
        </w:rPr>
        <w:t>Addendum #</w:t>
      </w:r>
      <w:r w:rsidR="00A1083D">
        <w:rPr>
          <w:rFonts w:ascii="Garamond" w:hAnsi="Garamond" w:cs="Calibri"/>
          <w:b/>
          <w:color w:val="FF0000"/>
          <w:sz w:val="40"/>
          <w:szCs w:val="40"/>
        </w:rPr>
        <w:t>2</w:t>
      </w:r>
    </w:p>
    <w:p w14:paraId="0EC98CBB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04C3693" w14:textId="180C93F6" w:rsidR="00183198" w:rsidRDefault="00183198" w:rsidP="005504FF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INDIANA DEPARTMENT OF ADMINISTRATION</w:t>
      </w:r>
    </w:p>
    <w:p w14:paraId="66D68FE0" w14:textId="77777777" w:rsidR="00183198" w:rsidRPr="00B12C59" w:rsidRDefault="00183198" w:rsidP="00183198">
      <w:pPr>
        <w:rPr>
          <w:rFonts w:ascii="Garamond" w:hAnsi="Garamond" w:cs="Calibri"/>
          <w:b/>
          <w:sz w:val="32"/>
          <w:szCs w:val="32"/>
        </w:rPr>
      </w:pPr>
    </w:p>
    <w:p w14:paraId="505A627C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On Behalf Of</w:t>
      </w:r>
    </w:p>
    <w:p w14:paraId="2227A259" w14:textId="77777777" w:rsidR="005504FF" w:rsidRPr="006F559A" w:rsidRDefault="005504FF" w:rsidP="005504FF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Family and Social Services Administration</w:t>
      </w:r>
      <w:r>
        <w:rPr>
          <w:rFonts w:ascii="Garamond" w:hAnsi="Garamond" w:cs="Calibri"/>
          <w:b/>
          <w:sz w:val="32"/>
          <w:szCs w:val="32"/>
        </w:rPr>
        <w:br/>
      </w:r>
      <w:r w:rsidRPr="006F559A">
        <w:rPr>
          <w:rFonts w:ascii="Garamond" w:hAnsi="Garamond" w:cs="Calibri"/>
          <w:b/>
          <w:sz w:val="32"/>
          <w:szCs w:val="32"/>
        </w:rPr>
        <w:t xml:space="preserve"> Office of Medicaid Policy and Planning</w:t>
      </w:r>
      <w:r>
        <w:rPr>
          <w:rFonts w:ascii="Garamond" w:hAnsi="Garamond" w:cs="Calibri"/>
          <w:b/>
          <w:sz w:val="32"/>
          <w:szCs w:val="32"/>
        </w:rPr>
        <w:t xml:space="preserve"> </w:t>
      </w:r>
    </w:p>
    <w:p w14:paraId="1A334EA3" w14:textId="77777777" w:rsidR="00183198" w:rsidRPr="00B12C59" w:rsidRDefault="00183198" w:rsidP="00A76E7F">
      <w:pPr>
        <w:rPr>
          <w:rFonts w:ascii="Garamond" w:hAnsi="Garamond" w:cs="Calibri"/>
          <w:b/>
          <w:sz w:val="32"/>
          <w:szCs w:val="32"/>
        </w:rPr>
      </w:pPr>
    </w:p>
    <w:p w14:paraId="3D5C7797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Solicitation For:</w:t>
      </w:r>
    </w:p>
    <w:p w14:paraId="1B3EAF70" w14:textId="77777777" w:rsidR="005504FF" w:rsidRPr="001115E8" w:rsidRDefault="005504FF" w:rsidP="005504FF">
      <w:pPr>
        <w:jc w:val="center"/>
        <w:rPr>
          <w:rFonts w:ascii="Garamond" w:hAnsi="Garamond" w:cs="Calibri"/>
          <w:b/>
          <w:sz w:val="36"/>
          <w:szCs w:val="36"/>
        </w:rPr>
      </w:pPr>
      <w:r w:rsidRPr="001115E8">
        <w:rPr>
          <w:rFonts w:ascii="Garamond" w:hAnsi="Garamond" w:cs="Calibri"/>
          <w:b/>
          <w:sz w:val="36"/>
          <w:szCs w:val="36"/>
        </w:rPr>
        <w:t>Risk-Based Managed Care Services for Aged, Blind and Disabled Medicaid Beneficiaries</w:t>
      </w:r>
    </w:p>
    <w:p w14:paraId="0D2C977E" w14:textId="10E0B857" w:rsidR="00183198" w:rsidRPr="005504FF" w:rsidRDefault="005504FF" w:rsidP="005504FF">
      <w:pPr>
        <w:jc w:val="center"/>
        <w:rPr>
          <w:rFonts w:ascii="Garamond" w:hAnsi="Garamond" w:cs="Calibri"/>
          <w:b/>
          <w:sz w:val="36"/>
          <w:szCs w:val="36"/>
        </w:rPr>
      </w:pPr>
      <w:r w:rsidRPr="001115E8">
        <w:rPr>
          <w:rFonts w:ascii="Garamond" w:hAnsi="Garamond" w:cs="Calibri"/>
          <w:b/>
          <w:sz w:val="36"/>
          <w:szCs w:val="36"/>
        </w:rPr>
        <w:t>(Hoosier Care Connect)</w:t>
      </w:r>
    </w:p>
    <w:p w14:paraId="6C5C11F1" w14:textId="77777777" w:rsidR="00A76E7F" w:rsidRPr="00B12C59" w:rsidRDefault="00A76E7F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02BC84A2" w14:textId="2F8D9CCD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 xml:space="preserve">Response Due Date: </w:t>
      </w:r>
      <w:r w:rsidR="005504FF" w:rsidRPr="005504FF">
        <w:rPr>
          <w:rFonts w:ascii="Garamond" w:hAnsi="Garamond" w:cs="Calibri"/>
          <w:b/>
          <w:sz w:val="32"/>
          <w:szCs w:val="32"/>
        </w:rPr>
        <w:t>January 6</w:t>
      </w:r>
      <w:r w:rsidR="005504FF" w:rsidRPr="005504FF">
        <w:rPr>
          <w:rFonts w:ascii="Garamond" w:hAnsi="Garamond" w:cs="Calibri"/>
          <w:b/>
          <w:sz w:val="32"/>
          <w:szCs w:val="32"/>
          <w:vertAlign w:val="superscript"/>
        </w:rPr>
        <w:t>th</w:t>
      </w:r>
      <w:r w:rsidR="005504FF" w:rsidRPr="005504FF">
        <w:rPr>
          <w:rFonts w:ascii="Garamond" w:hAnsi="Garamond" w:cs="Calibri"/>
          <w:b/>
          <w:sz w:val="32"/>
          <w:szCs w:val="32"/>
        </w:rPr>
        <w:t>, 2020</w:t>
      </w:r>
    </w:p>
    <w:p w14:paraId="1538F5C0" w14:textId="77777777" w:rsidR="00183198" w:rsidRDefault="00183198" w:rsidP="00475EBF">
      <w:pPr>
        <w:rPr>
          <w:rFonts w:ascii="Garamond" w:hAnsi="Garamond" w:cs="Calibri"/>
          <w:b/>
          <w:color w:val="FF0000"/>
          <w:sz w:val="32"/>
          <w:szCs w:val="32"/>
        </w:rPr>
      </w:pPr>
    </w:p>
    <w:p w14:paraId="679088C3" w14:textId="77777777" w:rsidR="00A76E7F" w:rsidRDefault="00A76E7F" w:rsidP="00475EBF">
      <w:pPr>
        <w:rPr>
          <w:rFonts w:ascii="Garamond" w:hAnsi="Garamond" w:cs="Calibri"/>
          <w:b/>
          <w:sz w:val="32"/>
          <w:szCs w:val="32"/>
        </w:rPr>
      </w:pPr>
    </w:p>
    <w:p w14:paraId="1CC2CE42" w14:textId="77777777" w:rsidR="00562767" w:rsidRPr="001C3077" w:rsidRDefault="00562767" w:rsidP="00475EBF">
      <w:pPr>
        <w:rPr>
          <w:rFonts w:ascii="Garamond" w:hAnsi="Garamond" w:cs="Calibri"/>
          <w:b/>
          <w:sz w:val="32"/>
          <w:szCs w:val="32"/>
        </w:rPr>
      </w:pPr>
    </w:p>
    <w:p w14:paraId="63ACFF9C" w14:textId="3D29BF6C" w:rsidR="00183198" w:rsidRPr="00AB63A9" w:rsidRDefault="00B05161" w:rsidP="00183198">
      <w:pPr>
        <w:jc w:val="right"/>
        <w:rPr>
          <w:rFonts w:ascii="Garamond" w:hAnsi="Garamond" w:cs="Calibri"/>
          <w:szCs w:val="24"/>
        </w:rPr>
      </w:pPr>
      <w:r w:rsidRPr="00AB63A9">
        <w:rPr>
          <w:rFonts w:ascii="Garamond" w:hAnsi="Garamond" w:cs="Calibri"/>
          <w:szCs w:val="24"/>
        </w:rPr>
        <w:t>David Brandon-Friedman</w:t>
      </w:r>
    </w:p>
    <w:p w14:paraId="7ED6F33D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925425">
        <w:rPr>
          <w:rFonts w:ascii="Garamond" w:hAnsi="Garamond" w:cs="Calibri"/>
          <w:szCs w:val="24"/>
        </w:rPr>
        <w:t>Indiana Department of Administratio</w:t>
      </w:r>
      <w:r w:rsidRPr="00B12C59">
        <w:rPr>
          <w:rFonts w:ascii="Garamond" w:hAnsi="Garamond" w:cs="Calibri"/>
          <w:szCs w:val="24"/>
        </w:rPr>
        <w:t>n</w:t>
      </w:r>
    </w:p>
    <w:p w14:paraId="173E56C3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Procurement Division</w:t>
      </w:r>
    </w:p>
    <w:p w14:paraId="4D932405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402 W. Washington St., Room W468</w:t>
      </w:r>
    </w:p>
    <w:p w14:paraId="513004F0" w14:textId="6EDB2033" w:rsidR="00985338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 xml:space="preserve">Indianapolis, </w:t>
      </w:r>
      <w:proofErr w:type="gramStart"/>
      <w:r w:rsidRPr="00B12C59">
        <w:rPr>
          <w:rFonts w:ascii="Garamond" w:hAnsi="Garamond" w:cs="Calibri"/>
          <w:szCs w:val="24"/>
        </w:rPr>
        <w:t>Indiana  46204</w:t>
      </w:r>
      <w:proofErr w:type="gramEnd"/>
    </w:p>
    <w:p w14:paraId="1F24166E" w14:textId="1EB74862" w:rsidR="00E33844" w:rsidRPr="005504FF" w:rsidRDefault="00183198" w:rsidP="005504FF">
      <w:pPr>
        <w:rPr>
          <w:rFonts w:ascii="Garamond" w:hAnsi="Garamond" w:cs="Calibri"/>
          <w:b/>
          <w:sz w:val="30"/>
          <w:szCs w:val="30"/>
        </w:rPr>
      </w:pPr>
      <w:r w:rsidRPr="00CA6994">
        <w:rPr>
          <w:rFonts w:ascii="Garamond" w:hAnsi="Garamond" w:cs="Calibri"/>
          <w:b/>
          <w:sz w:val="30"/>
          <w:szCs w:val="30"/>
        </w:rPr>
        <w:lastRenderedPageBreak/>
        <w:t>Summary of Changes</w:t>
      </w:r>
    </w:p>
    <w:p w14:paraId="723C5845" w14:textId="4CC26635" w:rsidR="00183198" w:rsidRDefault="00183198" w:rsidP="00183198">
      <w:pPr>
        <w:rPr>
          <w:rFonts w:ascii="Garamond" w:hAnsi="Garamond" w:cs="Calibri"/>
          <w:sz w:val="26"/>
          <w:szCs w:val="26"/>
        </w:rPr>
      </w:pPr>
      <w:r w:rsidRPr="00CA6994">
        <w:rPr>
          <w:rFonts w:ascii="Garamond" w:hAnsi="Garamond" w:cs="Calibri"/>
          <w:sz w:val="26"/>
          <w:szCs w:val="26"/>
        </w:rPr>
        <w:t xml:space="preserve">Deletions are indicated via </w:t>
      </w:r>
      <w:r w:rsidRPr="00B11B1D">
        <w:rPr>
          <w:rFonts w:ascii="Garamond" w:hAnsi="Garamond" w:cs="Calibri"/>
          <w:strike/>
          <w:color w:val="FF0000"/>
          <w:sz w:val="26"/>
          <w:szCs w:val="26"/>
        </w:rPr>
        <w:t>strikethrough</w:t>
      </w:r>
      <w:r w:rsidRPr="00B11B1D">
        <w:rPr>
          <w:rFonts w:ascii="Garamond" w:hAnsi="Garamond" w:cs="Calibri"/>
          <w:color w:val="FF0000"/>
          <w:sz w:val="26"/>
          <w:szCs w:val="26"/>
        </w:rPr>
        <w:t xml:space="preserve"> </w:t>
      </w:r>
      <w:r w:rsidRPr="00CA6994">
        <w:rPr>
          <w:rFonts w:ascii="Garamond" w:hAnsi="Garamond" w:cs="Calibri"/>
          <w:sz w:val="26"/>
          <w:szCs w:val="26"/>
        </w:rPr>
        <w:t xml:space="preserve">and additions </w:t>
      </w:r>
      <w:r w:rsidR="00BF5A5B">
        <w:rPr>
          <w:rFonts w:ascii="Garamond" w:hAnsi="Garamond" w:cs="Calibri"/>
          <w:sz w:val="26"/>
          <w:szCs w:val="26"/>
        </w:rPr>
        <w:t xml:space="preserve">are </w:t>
      </w:r>
      <w:r w:rsidR="00BF5A5B" w:rsidRPr="00B11B1D">
        <w:rPr>
          <w:rFonts w:ascii="Garamond" w:hAnsi="Garamond" w:cs="Calibri"/>
          <w:color w:val="FF0000"/>
          <w:sz w:val="26"/>
          <w:szCs w:val="26"/>
          <w:u w:val="single"/>
        </w:rPr>
        <w:t>underlined</w:t>
      </w:r>
      <w:r w:rsidR="00BF5A5B">
        <w:rPr>
          <w:rFonts w:ascii="Garamond" w:hAnsi="Garamond" w:cs="Calibri"/>
          <w:sz w:val="26"/>
          <w:szCs w:val="26"/>
        </w:rPr>
        <w:t xml:space="preserve">, both </w:t>
      </w:r>
      <w:r w:rsidRPr="00CA6994">
        <w:rPr>
          <w:rFonts w:ascii="Garamond" w:hAnsi="Garamond" w:cs="Calibri"/>
          <w:sz w:val="26"/>
          <w:szCs w:val="26"/>
        </w:rPr>
        <w:t xml:space="preserve">in </w:t>
      </w:r>
      <w:r w:rsidRPr="00CA6994">
        <w:rPr>
          <w:rFonts w:ascii="Garamond" w:hAnsi="Garamond" w:cs="Calibri"/>
          <w:color w:val="FF0000"/>
          <w:sz w:val="26"/>
          <w:szCs w:val="26"/>
        </w:rPr>
        <w:t xml:space="preserve">red </w:t>
      </w:r>
      <w:r w:rsidRPr="00CA6994">
        <w:rPr>
          <w:rFonts w:ascii="Garamond" w:hAnsi="Garamond" w:cs="Calibri"/>
          <w:sz w:val="26"/>
          <w:szCs w:val="26"/>
        </w:rPr>
        <w:t>font</w:t>
      </w:r>
      <w:r w:rsidR="00A1083D">
        <w:rPr>
          <w:rFonts w:ascii="Garamond" w:hAnsi="Garamond" w:cs="Calibri"/>
          <w:sz w:val="26"/>
          <w:szCs w:val="26"/>
        </w:rPr>
        <w:t>.</w:t>
      </w:r>
    </w:p>
    <w:p w14:paraId="58D7EC93" w14:textId="6E9B9DC3" w:rsidR="00097604" w:rsidRDefault="00097604" w:rsidP="00183198">
      <w:pPr>
        <w:rPr>
          <w:rFonts w:ascii="Garamond" w:hAnsi="Garamond" w:cs="Calibri"/>
          <w:sz w:val="26"/>
          <w:szCs w:val="26"/>
        </w:rPr>
      </w:pPr>
    </w:p>
    <w:p w14:paraId="65781968" w14:textId="111F0ED8" w:rsidR="00097604" w:rsidRPr="00A1083D" w:rsidRDefault="00097604" w:rsidP="00097604">
      <w:pPr>
        <w:pStyle w:val="ListParagraph"/>
        <w:numPr>
          <w:ilvl w:val="0"/>
          <w:numId w:val="14"/>
        </w:numPr>
        <w:ind w:left="360" w:hanging="360"/>
        <w:rPr>
          <w:rFonts w:ascii="Garamond" w:hAnsi="Garamond" w:cs="Calibri"/>
          <w:b/>
          <w:sz w:val="26"/>
          <w:szCs w:val="26"/>
        </w:rPr>
      </w:pPr>
      <w:r w:rsidRPr="00A1083D">
        <w:rPr>
          <w:rFonts w:ascii="Garamond" w:hAnsi="Garamond" w:cs="Calibri"/>
          <w:b/>
          <w:sz w:val="26"/>
          <w:szCs w:val="26"/>
        </w:rPr>
        <w:t xml:space="preserve">The following edits have been made to Attachment </w:t>
      </w:r>
      <w:r w:rsidRPr="00097604">
        <w:rPr>
          <w:rFonts w:ascii="Garamond" w:hAnsi="Garamond" w:cs="Calibri"/>
          <w:b/>
          <w:sz w:val="26"/>
          <w:szCs w:val="26"/>
        </w:rPr>
        <w:t>F</w:t>
      </w:r>
      <w:r>
        <w:rPr>
          <w:rFonts w:ascii="Garamond" w:hAnsi="Garamond" w:cs="Calibri"/>
          <w:b/>
          <w:sz w:val="26"/>
          <w:szCs w:val="26"/>
        </w:rPr>
        <w:t xml:space="preserve">, </w:t>
      </w:r>
      <w:r w:rsidRPr="00097604">
        <w:rPr>
          <w:rFonts w:ascii="Garamond" w:hAnsi="Garamond" w:cs="Calibri"/>
          <w:b/>
          <w:sz w:val="26"/>
          <w:szCs w:val="26"/>
        </w:rPr>
        <w:t>Technical Proposal Instructions</w:t>
      </w:r>
      <w:r w:rsidRPr="00A1083D">
        <w:rPr>
          <w:rFonts w:ascii="Garamond" w:hAnsi="Garamond" w:cs="Calibri"/>
          <w:b/>
          <w:sz w:val="26"/>
          <w:szCs w:val="26"/>
        </w:rPr>
        <w:t>:</w:t>
      </w:r>
    </w:p>
    <w:p w14:paraId="4B73A3F1" w14:textId="77777777" w:rsidR="00097604" w:rsidRDefault="00097604" w:rsidP="00097604">
      <w:pPr>
        <w:rPr>
          <w:rFonts w:ascii="Garamond" w:hAnsi="Garamond" w:cs="Calibri"/>
          <w:b/>
          <w:sz w:val="28"/>
          <w:szCs w:val="28"/>
        </w:rPr>
      </w:pPr>
    </w:p>
    <w:p w14:paraId="272B3BE2" w14:textId="2F82D2DC" w:rsidR="0074624D" w:rsidRDefault="00097604" w:rsidP="00DB4977">
      <w:pPr>
        <w:pStyle w:val="ListParagraph"/>
        <w:numPr>
          <w:ilvl w:val="0"/>
          <w:numId w:val="2"/>
        </w:numPr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t xml:space="preserve">In </w:t>
      </w:r>
      <w:r w:rsidRPr="00097604">
        <w:rPr>
          <w:rFonts w:ascii="Garamond" w:hAnsi="Garamond" w:cs="Calibri"/>
          <w:sz w:val="26"/>
          <w:szCs w:val="26"/>
        </w:rPr>
        <w:t>Submission Specifications</w:t>
      </w:r>
      <w:r>
        <w:rPr>
          <w:rFonts w:ascii="Garamond" w:hAnsi="Garamond" w:cs="Calibri"/>
          <w:sz w:val="26"/>
          <w:szCs w:val="26"/>
        </w:rPr>
        <w:t>:</w:t>
      </w:r>
      <w:r>
        <w:rPr>
          <w:rFonts w:ascii="Garamond" w:hAnsi="Garamond" w:cs="Calibri"/>
          <w:sz w:val="26"/>
          <w:szCs w:val="26"/>
        </w:rPr>
        <w:br/>
      </w:r>
      <w:r w:rsidR="00A34FB2">
        <w:rPr>
          <w:rFonts w:ascii="Garamond" w:hAnsi="Garamond" w:cs="Calibri"/>
          <w:noProof/>
          <w:sz w:val="26"/>
          <w:szCs w:val="26"/>
        </w:rPr>
        <w:drawing>
          <wp:inline distT="0" distB="0" distL="0" distR="0" wp14:anchorId="4D5A02B7" wp14:editId="624E0633">
            <wp:extent cx="5943600" cy="2999740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bmission Spec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00728" w14:textId="77777777" w:rsidR="00DB4977" w:rsidRPr="00DB4977" w:rsidRDefault="00DB4977" w:rsidP="00DB4977">
      <w:pPr>
        <w:pStyle w:val="ListParagraph"/>
        <w:rPr>
          <w:rFonts w:ascii="Garamond" w:hAnsi="Garamond" w:cs="Calibri"/>
          <w:sz w:val="26"/>
          <w:szCs w:val="26"/>
        </w:rPr>
      </w:pPr>
    </w:p>
    <w:p w14:paraId="1ED65C8F" w14:textId="77777777" w:rsidR="00DB4977" w:rsidRDefault="00097604" w:rsidP="00097604">
      <w:pPr>
        <w:pStyle w:val="ListParagraph"/>
        <w:numPr>
          <w:ilvl w:val="0"/>
          <w:numId w:val="2"/>
        </w:numPr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t xml:space="preserve">In Section </w:t>
      </w:r>
      <w:r w:rsidRPr="00097604">
        <w:rPr>
          <w:rFonts w:ascii="Garamond" w:hAnsi="Garamond" w:cs="Calibri"/>
          <w:sz w:val="26"/>
          <w:szCs w:val="26"/>
        </w:rPr>
        <w:t>1.0 – Background</w:t>
      </w:r>
      <w:r>
        <w:rPr>
          <w:rFonts w:ascii="Garamond" w:hAnsi="Garamond" w:cs="Calibri"/>
          <w:sz w:val="26"/>
          <w:szCs w:val="26"/>
        </w:rPr>
        <w:t>:</w:t>
      </w:r>
    </w:p>
    <w:p w14:paraId="66C595E3" w14:textId="7E714F74" w:rsidR="00097604" w:rsidRDefault="00097604" w:rsidP="00DB4977">
      <w:pPr>
        <w:pStyle w:val="ListParagraph"/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br/>
      </w:r>
      <w:r w:rsidR="0074624D">
        <w:rPr>
          <w:rFonts w:ascii="Garamond" w:hAnsi="Garamond" w:cs="Calibri"/>
          <w:noProof/>
          <w:sz w:val="26"/>
          <w:szCs w:val="26"/>
        </w:rPr>
        <w:drawing>
          <wp:inline distT="0" distB="0" distL="0" distR="0" wp14:anchorId="53B00DBB" wp14:editId="756D4B13">
            <wp:extent cx="5943600" cy="9810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_1.0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108" b="46043"/>
                    <a:stretch/>
                  </pic:blipFill>
                  <pic:spPr bwMode="auto">
                    <a:xfrm>
                      <a:off x="0" y="0"/>
                      <a:ext cx="5943600" cy="98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Garamond" w:hAnsi="Garamond" w:cs="Calibri"/>
          <w:sz w:val="26"/>
          <w:szCs w:val="26"/>
        </w:rPr>
        <w:br/>
      </w:r>
    </w:p>
    <w:p w14:paraId="263724EA" w14:textId="2CC36C7C" w:rsidR="0074624D" w:rsidRDefault="00097604" w:rsidP="00A34FB2">
      <w:pPr>
        <w:pStyle w:val="ListParagraph"/>
        <w:numPr>
          <w:ilvl w:val="0"/>
          <w:numId w:val="2"/>
        </w:numPr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t xml:space="preserve">In Section </w:t>
      </w:r>
      <w:r w:rsidRPr="00097604">
        <w:rPr>
          <w:rFonts w:ascii="Garamond" w:hAnsi="Garamond" w:cs="Calibri"/>
          <w:sz w:val="26"/>
          <w:szCs w:val="26"/>
        </w:rPr>
        <w:t>2.0 – Administrative Requirements</w:t>
      </w:r>
      <w:r w:rsidR="001C56A9">
        <w:rPr>
          <w:rFonts w:ascii="Garamond" w:hAnsi="Garamond" w:cs="Calibri"/>
          <w:sz w:val="26"/>
          <w:szCs w:val="26"/>
        </w:rPr>
        <w:t xml:space="preserve">, </w:t>
      </w:r>
      <w:r w:rsidR="001C56A9" w:rsidRPr="001C56A9">
        <w:rPr>
          <w:rFonts w:ascii="Garamond" w:hAnsi="Garamond" w:cs="Calibri"/>
          <w:sz w:val="26"/>
          <w:szCs w:val="26"/>
        </w:rPr>
        <w:t>Section 2.4 – Financial Stability</w:t>
      </w:r>
      <w:r>
        <w:rPr>
          <w:rFonts w:ascii="Garamond" w:hAnsi="Garamond" w:cs="Calibri"/>
          <w:sz w:val="26"/>
          <w:szCs w:val="26"/>
        </w:rPr>
        <w:t>:</w:t>
      </w:r>
      <w:r w:rsidR="0074624D" w:rsidRPr="0074624D">
        <w:rPr>
          <w:rFonts w:ascii="Garamond" w:hAnsi="Garamond" w:cs="Calibri"/>
          <w:noProof/>
          <w:sz w:val="26"/>
          <w:szCs w:val="26"/>
        </w:rPr>
        <w:t xml:space="preserve"> </w:t>
      </w:r>
    </w:p>
    <w:p w14:paraId="2905D577" w14:textId="77777777" w:rsidR="0074624D" w:rsidRDefault="0074624D" w:rsidP="0074624D">
      <w:pPr>
        <w:pStyle w:val="ListParagraph"/>
        <w:rPr>
          <w:rFonts w:ascii="Garamond" w:hAnsi="Garamond" w:cs="Calibri"/>
          <w:sz w:val="26"/>
          <w:szCs w:val="26"/>
        </w:rPr>
      </w:pPr>
    </w:p>
    <w:p w14:paraId="4589388B" w14:textId="7F37F58C" w:rsidR="0074624D" w:rsidRDefault="0074624D" w:rsidP="00DB4977">
      <w:pPr>
        <w:pStyle w:val="ListParagraph"/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noProof/>
          <w:sz w:val="26"/>
          <w:szCs w:val="26"/>
        </w:rPr>
        <w:drawing>
          <wp:inline distT="0" distB="0" distL="0" distR="0" wp14:anchorId="3BD35A42" wp14:editId="6E82A9F7">
            <wp:extent cx="5231349" cy="1200187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_2.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349" cy="1200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D3F52C" w14:textId="77777777" w:rsidR="00DB4977" w:rsidRDefault="00DB4977" w:rsidP="00DB4977">
      <w:pPr>
        <w:pStyle w:val="ListParagraph"/>
        <w:rPr>
          <w:rFonts w:ascii="Garamond" w:hAnsi="Garamond" w:cs="Calibri"/>
          <w:sz w:val="26"/>
          <w:szCs w:val="26"/>
        </w:rPr>
      </w:pPr>
    </w:p>
    <w:p w14:paraId="1222900D" w14:textId="77777777" w:rsidR="00DB4977" w:rsidRDefault="00DB4977">
      <w:pPr>
        <w:widowControl/>
        <w:spacing w:after="160" w:line="259" w:lineRule="auto"/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br w:type="page"/>
      </w:r>
    </w:p>
    <w:p w14:paraId="1EB37E22" w14:textId="3153999C" w:rsidR="00097604" w:rsidRPr="00097604" w:rsidRDefault="0074624D" w:rsidP="00A34FB2">
      <w:pPr>
        <w:pStyle w:val="ListParagraph"/>
        <w:numPr>
          <w:ilvl w:val="0"/>
          <w:numId w:val="2"/>
        </w:numPr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lastRenderedPageBreak/>
        <w:t xml:space="preserve">In Section </w:t>
      </w:r>
      <w:r w:rsidRPr="00097604">
        <w:rPr>
          <w:rFonts w:ascii="Garamond" w:hAnsi="Garamond" w:cs="Calibri"/>
          <w:sz w:val="26"/>
          <w:szCs w:val="26"/>
        </w:rPr>
        <w:t>2.0 – Administrative Requirements</w:t>
      </w:r>
      <w:r w:rsidR="001C56A9">
        <w:rPr>
          <w:rFonts w:ascii="Garamond" w:hAnsi="Garamond" w:cs="Calibri"/>
          <w:sz w:val="26"/>
          <w:szCs w:val="26"/>
        </w:rPr>
        <w:t xml:space="preserve">, </w:t>
      </w:r>
      <w:r w:rsidR="001C56A9" w:rsidRPr="001C56A9">
        <w:rPr>
          <w:rFonts w:ascii="Garamond" w:hAnsi="Garamond" w:cs="Calibri"/>
          <w:sz w:val="26"/>
          <w:szCs w:val="26"/>
        </w:rPr>
        <w:t>Section 2.10 – Administrative and Organizational Structure</w:t>
      </w:r>
      <w:r>
        <w:rPr>
          <w:rFonts w:ascii="Garamond" w:hAnsi="Garamond" w:cs="Calibri"/>
          <w:sz w:val="26"/>
          <w:szCs w:val="26"/>
        </w:rPr>
        <w:t>:</w:t>
      </w:r>
      <w:r w:rsidR="00097604">
        <w:rPr>
          <w:rFonts w:ascii="Garamond" w:hAnsi="Garamond" w:cs="Calibri"/>
          <w:sz w:val="26"/>
          <w:szCs w:val="26"/>
        </w:rPr>
        <w:br/>
      </w:r>
      <w:r w:rsidR="00097604">
        <w:rPr>
          <w:rFonts w:ascii="Garamond" w:hAnsi="Garamond" w:cs="Calibri"/>
          <w:sz w:val="26"/>
          <w:szCs w:val="26"/>
        </w:rPr>
        <w:br/>
      </w:r>
      <w:r w:rsidR="00A34FB2">
        <w:rPr>
          <w:rFonts w:ascii="Garamond" w:hAnsi="Garamond" w:cs="Calibri"/>
          <w:noProof/>
          <w:sz w:val="26"/>
          <w:szCs w:val="26"/>
        </w:rPr>
        <w:drawing>
          <wp:inline distT="0" distB="0" distL="0" distR="0" wp14:anchorId="283E43F8" wp14:editId="65A486AE">
            <wp:extent cx="5828665" cy="942907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_2.0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794"/>
                    <a:stretch/>
                  </pic:blipFill>
                  <pic:spPr bwMode="auto">
                    <a:xfrm>
                      <a:off x="0" y="0"/>
                      <a:ext cx="5830114" cy="943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97604">
        <w:rPr>
          <w:rFonts w:ascii="Garamond" w:hAnsi="Garamond" w:cs="Calibri"/>
          <w:sz w:val="26"/>
          <w:szCs w:val="26"/>
        </w:rPr>
        <w:br/>
      </w:r>
    </w:p>
    <w:p w14:paraId="50F694B3" w14:textId="59C6950A" w:rsidR="00097604" w:rsidRDefault="00097604" w:rsidP="00097604">
      <w:pPr>
        <w:pStyle w:val="ListParagraph"/>
        <w:numPr>
          <w:ilvl w:val="0"/>
          <w:numId w:val="2"/>
        </w:numPr>
        <w:rPr>
          <w:rFonts w:ascii="Garamond" w:hAnsi="Garamond" w:cs="Calibri"/>
          <w:sz w:val="26"/>
          <w:szCs w:val="26"/>
        </w:rPr>
      </w:pPr>
      <w:r w:rsidRPr="00097604">
        <w:rPr>
          <w:rFonts w:ascii="Garamond" w:hAnsi="Garamond" w:cs="Calibri"/>
          <w:sz w:val="26"/>
          <w:szCs w:val="26"/>
        </w:rPr>
        <w:t xml:space="preserve">In </w:t>
      </w:r>
      <w:r>
        <w:rPr>
          <w:rFonts w:ascii="Garamond" w:hAnsi="Garamond" w:cs="Calibri"/>
          <w:sz w:val="26"/>
          <w:szCs w:val="26"/>
        </w:rPr>
        <w:t xml:space="preserve">Section </w:t>
      </w:r>
      <w:r w:rsidRPr="00097604">
        <w:rPr>
          <w:rFonts w:ascii="Garamond" w:hAnsi="Garamond" w:cs="Calibri"/>
          <w:sz w:val="26"/>
          <w:szCs w:val="26"/>
        </w:rPr>
        <w:t>4.0 – Member Services</w:t>
      </w:r>
      <w:r w:rsidR="001C56A9">
        <w:rPr>
          <w:rFonts w:ascii="Garamond" w:hAnsi="Garamond" w:cs="Calibri"/>
          <w:sz w:val="26"/>
          <w:szCs w:val="26"/>
        </w:rPr>
        <w:t xml:space="preserve">, </w:t>
      </w:r>
      <w:r w:rsidR="001C56A9" w:rsidRPr="001C56A9">
        <w:rPr>
          <w:rFonts w:ascii="Garamond" w:hAnsi="Garamond" w:cs="Calibri"/>
          <w:sz w:val="26"/>
          <w:szCs w:val="26"/>
        </w:rPr>
        <w:t>Section 4.4 – Enrollment Packet</w:t>
      </w:r>
      <w:r>
        <w:rPr>
          <w:rFonts w:ascii="Garamond" w:hAnsi="Garamond" w:cs="Calibri"/>
          <w:sz w:val="26"/>
          <w:szCs w:val="26"/>
        </w:rPr>
        <w:t>:</w:t>
      </w:r>
      <w:r>
        <w:rPr>
          <w:rFonts w:ascii="Garamond" w:hAnsi="Garamond" w:cs="Calibri"/>
          <w:sz w:val="26"/>
          <w:szCs w:val="26"/>
        </w:rPr>
        <w:br/>
      </w:r>
      <w:r>
        <w:rPr>
          <w:rFonts w:ascii="Garamond" w:hAnsi="Garamond" w:cs="Calibri"/>
          <w:sz w:val="26"/>
          <w:szCs w:val="26"/>
        </w:rPr>
        <w:br/>
      </w:r>
      <w:r w:rsidR="00A34FB2">
        <w:rPr>
          <w:rFonts w:ascii="Garamond" w:hAnsi="Garamond" w:cs="Calibri"/>
          <w:noProof/>
          <w:sz w:val="26"/>
          <w:szCs w:val="26"/>
        </w:rPr>
        <w:drawing>
          <wp:inline distT="0" distB="0" distL="0" distR="0" wp14:anchorId="5FD84A04" wp14:editId="4EE0A1F3">
            <wp:extent cx="5695948" cy="723900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_4.0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73" b="-1"/>
                    <a:stretch/>
                  </pic:blipFill>
                  <pic:spPr bwMode="auto">
                    <a:xfrm>
                      <a:off x="0" y="0"/>
                      <a:ext cx="5696745" cy="724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Garamond" w:hAnsi="Garamond" w:cs="Calibri"/>
          <w:sz w:val="26"/>
          <w:szCs w:val="26"/>
        </w:rPr>
        <w:br/>
      </w:r>
    </w:p>
    <w:p w14:paraId="13C11B31" w14:textId="38D0AACC" w:rsidR="00A34FB2" w:rsidRDefault="00097604" w:rsidP="00097604">
      <w:pPr>
        <w:pStyle w:val="ListParagraph"/>
        <w:numPr>
          <w:ilvl w:val="0"/>
          <w:numId w:val="2"/>
        </w:numPr>
        <w:rPr>
          <w:rFonts w:ascii="Garamond" w:hAnsi="Garamond" w:cs="Calibri"/>
          <w:sz w:val="26"/>
          <w:szCs w:val="26"/>
        </w:rPr>
      </w:pPr>
      <w:r w:rsidRPr="00097604">
        <w:rPr>
          <w:rFonts w:ascii="Garamond" w:hAnsi="Garamond" w:cs="Calibri"/>
          <w:sz w:val="26"/>
          <w:szCs w:val="26"/>
        </w:rPr>
        <w:t xml:space="preserve">In </w:t>
      </w:r>
      <w:r>
        <w:rPr>
          <w:rFonts w:ascii="Garamond" w:hAnsi="Garamond" w:cs="Calibri"/>
          <w:sz w:val="26"/>
          <w:szCs w:val="26"/>
        </w:rPr>
        <w:t xml:space="preserve">Section </w:t>
      </w:r>
      <w:r w:rsidRPr="00097604">
        <w:rPr>
          <w:rFonts w:ascii="Garamond" w:hAnsi="Garamond" w:cs="Calibri"/>
          <w:sz w:val="26"/>
          <w:szCs w:val="26"/>
        </w:rPr>
        <w:t>6.0 – Provider Network Requirements</w:t>
      </w:r>
      <w:r w:rsidR="001C56A9">
        <w:rPr>
          <w:rFonts w:ascii="Garamond" w:hAnsi="Garamond" w:cs="Calibri"/>
          <w:sz w:val="26"/>
          <w:szCs w:val="26"/>
        </w:rPr>
        <w:t xml:space="preserve">, </w:t>
      </w:r>
      <w:r w:rsidR="001C56A9" w:rsidRPr="001C56A9">
        <w:rPr>
          <w:rFonts w:ascii="Garamond" w:hAnsi="Garamond" w:cs="Calibri"/>
          <w:sz w:val="26"/>
          <w:szCs w:val="26"/>
        </w:rPr>
        <w:t>Section 6.5 – Provider Agreements</w:t>
      </w:r>
      <w:r>
        <w:rPr>
          <w:rFonts w:ascii="Garamond" w:hAnsi="Garamond" w:cs="Calibri"/>
          <w:sz w:val="26"/>
          <w:szCs w:val="26"/>
        </w:rPr>
        <w:t>:</w:t>
      </w:r>
    </w:p>
    <w:p w14:paraId="78283863" w14:textId="57F4487D" w:rsidR="0074624D" w:rsidRDefault="00097604" w:rsidP="00DB4977">
      <w:pPr>
        <w:pStyle w:val="ListParagraph"/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br/>
      </w:r>
      <w:r w:rsidR="00A34FB2">
        <w:rPr>
          <w:rFonts w:ascii="Garamond" w:hAnsi="Garamond" w:cs="Calibri"/>
          <w:noProof/>
          <w:sz w:val="26"/>
          <w:szCs w:val="26"/>
        </w:rPr>
        <w:drawing>
          <wp:inline distT="0" distB="0" distL="0" distR="0" wp14:anchorId="6155F523" wp14:editId="4E83642B">
            <wp:extent cx="5849166" cy="91452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_6.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166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 w:cs="Calibri"/>
          <w:sz w:val="26"/>
          <w:szCs w:val="26"/>
        </w:rPr>
        <w:br/>
      </w:r>
    </w:p>
    <w:p w14:paraId="407F2827" w14:textId="665B74B6" w:rsidR="0074624D" w:rsidRDefault="00097604" w:rsidP="00183198">
      <w:pPr>
        <w:pStyle w:val="ListParagraph"/>
        <w:numPr>
          <w:ilvl w:val="0"/>
          <w:numId w:val="2"/>
        </w:numPr>
        <w:rPr>
          <w:rFonts w:ascii="Garamond" w:hAnsi="Garamond" w:cs="Calibri"/>
          <w:sz w:val="26"/>
          <w:szCs w:val="26"/>
        </w:rPr>
      </w:pPr>
      <w:r w:rsidRPr="00097604">
        <w:rPr>
          <w:rFonts w:ascii="Garamond" w:hAnsi="Garamond" w:cs="Calibri"/>
          <w:sz w:val="26"/>
          <w:szCs w:val="26"/>
        </w:rPr>
        <w:t>In Section 9.0 – Performance Reporting and Incentives</w:t>
      </w:r>
      <w:r>
        <w:rPr>
          <w:rFonts w:ascii="Garamond" w:hAnsi="Garamond" w:cs="Calibri"/>
          <w:sz w:val="26"/>
          <w:szCs w:val="26"/>
        </w:rPr>
        <w:t>:</w:t>
      </w:r>
    </w:p>
    <w:p w14:paraId="3381915D" w14:textId="7F402115" w:rsidR="0074624D" w:rsidRPr="0074624D" w:rsidRDefault="0074624D" w:rsidP="0074624D">
      <w:pPr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2F75765E" wp14:editId="7D318B58">
            <wp:simplePos x="0" y="0"/>
            <wp:positionH relativeFrom="column">
              <wp:posOffset>438150</wp:posOffset>
            </wp:positionH>
            <wp:positionV relativeFrom="paragraph">
              <wp:posOffset>190500</wp:posOffset>
            </wp:positionV>
            <wp:extent cx="5686425" cy="552450"/>
            <wp:effectExtent l="0" t="0" r="9525" b="0"/>
            <wp:wrapTight wrapText="bothSides">
              <wp:wrapPolygon edited="0">
                <wp:start x="0" y="0"/>
                <wp:lineTo x="0" y="20855"/>
                <wp:lineTo x="21564" y="20855"/>
                <wp:lineTo x="21564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_9.0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78" b="78611"/>
                    <a:stretch/>
                  </pic:blipFill>
                  <pic:spPr bwMode="auto">
                    <a:xfrm>
                      <a:off x="0" y="0"/>
                      <a:ext cx="5686425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29893" w14:textId="77777777" w:rsidR="001C56A9" w:rsidRPr="001C56A9" w:rsidRDefault="001C56A9" w:rsidP="001C56A9">
      <w:pPr>
        <w:pStyle w:val="ListParagraph"/>
        <w:rPr>
          <w:rFonts w:ascii="Garamond" w:hAnsi="Garamond" w:cs="Calibri"/>
          <w:sz w:val="26"/>
          <w:szCs w:val="26"/>
        </w:rPr>
      </w:pPr>
    </w:p>
    <w:p w14:paraId="7203C0F8" w14:textId="64EC9A0E" w:rsidR="0074624D" w:rsidRDefault="0074624D" w:rsidP="00183198">
      <w:pPr>
        <w:pStyle w:val="ListParagraph"/>
        <w:numPr>
          <w:ilvl w:val="0"/>
          <w:numId w:val="2"/>
        </w:numPr>
        <w:rPr>
          <w:rFonts w:ascii="Garamond" w:hAnsi="Garamond" w:cs="Calibri"/>
          <w:sz w:val="26"/>
          <w:szCs w:val="26"/>
        </w:rPr>
      </w:pPr>
      <w:r w:rsidRPr="00097604">
        <w:rPr>
          <w:rFonts w:ascii="Garamond" w:hAnsi="Garamond" w:cs="Calibri"/>
          <w:sz w:val="26"/>
          <w:szCs w:val="26"/>
        </w:rPr>
        <w:t>In Section 9.0 – Performance Reporting and Incentives</w:t>
      </w:r>
      <w:r w:rsidR="001C56A9">
        <w:rPr>
          <w:rFonts w:ascii="Garamond" w:hAnsi="Garamond" w:cs="Calibri"/>
          <w:sz w:val="26"/>
          <w:szCs w:val="26"/>
        </w:rPr>
        <w:t xml:space="preserve">, </w:t>
      </w:r>
      <w:r w:rsidR="001C56A9" w:rsidRPr="001C56A9">
        <w:rPr>
          <w:rFonts w:ascii="Garamond" w:hAnsi="Garamond" w:cs="Calibri"/>
          <w:sz w:val="26"/>
          <w:szCs w:val="26"/>
        </w:rPr>
        <w:t>Submission of HEDIS Reports</w:t>
      </w:r>
      <w:r>
        <w:rPr>
          <w:rFonts w:ascii="Garamond" w:hAnsi="Garamond" w:cs="Calibri"/>
          <w:sz w:val="26"/>
          <w:szCs w:val="26"/>
        </w:rPr>
        <w:t>:</w:t>
      </w:r>
    </w:p>
    <w:p w14:paraId="453311B9" w14:textId="55077830" w:rsidR="00A1083D" w:rsidRPr="0074624D" w:rsidRDefault="00097604" w:rsidP="0074624D">
      <w:pPr>
        <w:pStyle w:val="ListParagraph"/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br/>
      </w:r>
      <w:r w:rsidR="00A34FB2">
        <w:rPr>
          <w:rFonts w:ascii="Garamond" w:hAnsi="Garamond" w:cs="Calibri"/>
          <w:noProof/>
          <w:sz w:val="26"/>
          <w:szCs w:val="26"/>
        </w:rPr>
        <w:drawing>
          <wp:inline distT="0" distB="0" distL="0" distR="0" wp14:anchorId="714B7328" wp14:editId="110AE6B6">
            <wp:extent cx="5686425" cy="11620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_9.0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111"/>
                    <a:stretch/>
                  </pic:blipFill>
                  <pic:spPr bwMode="auto">
                    <a:xfrm>
                      <a:off x="0" y="0"/>
                      <a:ext cx="5687219" cy="1162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Garamond" w:hAnsi="Garamond" w:cs="Calibri"/>
          <w:sz w:val="26"/>
          <w:szCs w:val="26"/>
        </w:rPr>
        <w:br/>
      </w:r>
      <w:r>
        <w:rPr>
          <w:rFonts w:ascii="Garamond" w:hAnsi="Garamond" w:cs="Calibri"/>
          <w:sz w:val="26"/>
          <w:szCs w:val="26"/>
        </w:rPr>
        <w:br/>
      </w:r>
    </w:p>
    <w:p w14:paraId="4D8F136C" w14:textId="77777777" w:rsidR="00DB4977" w:rsidRDefault="00DB4977">
      <w:pPr>
        <w:widowControl/>
        <w:spacing w:after="160" w:line="259" w:lineRule="auto"/>
        <w:rPr>
          <w:rFonts w:ascii="Garamond" w:hAnsi="Garamond" w:cs="Calibri"/>
          <w:b/>
          <w:sz w:val="26"/>
          <w:szCs w:val="26"/>
        </w:rPr>
      </w:pPr>
      <w:r>
        <w:rPr>
          <w:rFonts w:ascii="Garamond" w:hAnsi="Garamond" w:cs="Calibri"/>
          <w:b/>
          <w:sz w:val="26"/>
          <w:szCs w:val="26"/>
        </w:rPr>
        <w:br w:type="page"/>
      </w:r>
    </w:p>
    <w:p w14:paraId="466C75EC" w14:textId="49F90372" w:rsidR="003A5C5C" w:rsidRPr="00A1083D" w:rsidRDefault="003A5C5C" w:rsidP="003A5C5C">
      <w:pPr>
        <w:pStyle w:val="ListParagraph"/>
        <w:numPr>
          <w:ilvl w:val="0"/>
          <w:numId w:val="14"/>
        </w:numPr>
        <w:ind w:left="360" w:hanging="360"/>
        <w:rPr>
          <w:rFonts w:ascii="Garamond" w:hAnsi="Garamond" w:cs="Calibri"/>
          <w:b/>
          <w:sz w:val="26"/>
          <w:szCs w:val="26"/>
        </w:rPr>
      </w:pPr>
      <w:r w:rsidRPr="00A1083D">
        <w:rPr>
          <w:rFonts w:ascii="Garamond" w:hAnsi="Garamond" w:cs="Calibri"/>
          <w:b/>
          <w:sz w:val="26"/>
          <w:szCs w:val="26"/>
        </w:rPr>
        <w:lastRenderedPageBreak/>
        <w:t xml:space="preserve">The following edits have been made to </w:t>
      </w:r>
      <w:r w:rsidRPr="003A5C5C">
        <w:rPr>
          <w:rFonts w:ascii="Garamond" w:hAnsi="Garamond" w:cs="Calibri"/>
          <w:b/>
          <w:sz w:val="26"/>
          <w:szCs w:val="26"/>
        </w:rPr>
        <w:t>Attachment I, Exhibit 1 Scope of Work</w:t>
      </w:r>
      <w:r w:rsidRPr="00A1083D">
        <w:rPr>
          <w:rFonts w:ascii="Garamond" w:hAnsi="Garamond" w:cs="Calibri"/>
          <w:b/>
          <w:sz w:val="26"/>
          <w:szCs w:val="26"/>
        </w:rPr>
        <w:t>:</w:t>
      </w:r>
    </w:p>
    <w:p w14:paraId="49F4B341" w14:textId="77777777" w:rsidR="003A5C5C" w:rsidRDefault="003A5C5C" w:rsidP="003A5C5C">
      <w:pPr>
        <w:rPr>
          <w:rFonts w:ascii="Garamond" w:hAnsi="Garamond" w:cs="Calibri"/>
          <w:b/>
          <w:sz w:val="28"/>
          <w:szCs w:val="28"/>
        </w:rPr>
      </w:pPr>
    </w:p>
    <w:p w14:paraId="0A8AFC4B" w14:textId="77777777" w:rsidR="00AA15C9" w:rsidRDefault="003A5C5C" w:rsidP="003A5C5C">
      <w:pPr>
        <w:pStyle w:val="ListParagraph"/>
        <w:numPr>
          <w:ilvl w:val="0"/>
          <w:numId w:val="15"/>
        </w:numPr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t xml:space="preserve">In </w:t>
      </w:r>
      <w:r w:rsidR="00D3136A">
        <w:rPr>
          <w:rFonts w:ascii="Garamond" w:hAnsi="Garamond" w:cs="Calibri"/>
          <w:sz w:val="26"/>
          <w:szCs w:val="26"/>
        </w:rPr>
        <w:t xml:space="preserve">Section </w:t>
      </w:r>
      <w:r w:rsidR="00D3136A" w:rsidRPr="00D3136A">
        <w:rPr>
          <w:rFonts w:ascii="Garamond" w:hAnsi="Garamond" w:cs="Calibri"/>
          <w:sz w:val="26"/>
          <w:szCs w:val="26"/>
        </w:rPr>
        <w:t>7.3.1</w:t>
      </w:r>
      <w:r w:rsidR="00D3136A">
        <w:rPr>
          <w:rFonts w:ascii="Garamond" w:hAnsi="Garamond" w:cs="Calibri"/>
          <w:sz w:val="26"/>
          <w:szCs w:val="26"/>
        </w:rPr>
        <w:t xml:space="preserve"> </w:t>
      </w:r>
      <w:r w:rsidR="00D3136A" w:rsidRPr="00D3136A">
        <w:rPr>
          <w:rFonts w:ascii="Garamond" w:hAnsi="Garamond" w:cs="Calibri"/>
          <w:sz w:val="26"/>
          <w:szCs w:val="26"/>
        </w:rPr>
        <w:t>Authorization of Services and Notices of Actions</w:t>
      </w:r>
      <w:r>
        <w:rPr>
          <w:rFonts w:ascii="Garamond" w:hAnsi="Garamond" w:cs="Calibri"/>
          <w:sz w:val="26"/>
          <w:szCs w:val="26"/>
        </w:rPr>
        <w:t>:</w:t>
      </w:r>
    </w:p>
    <w:p w14:paraId="4AE16CAA" w14:textId="75600962" w:rsidR="003A5C5C" w:rsidRDefault="003A5C5C" w:rsidP="00AA15C9">
      <w:pPr>
        <w:pStyle w:val="ListParagraph"/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br/>
      </w:r>
      <w:r w:rsidR="00AA15C9">
        <w:rPr>
          <w:rFonts w:ascii="Garamond" w:hAnsi="Garamond" w:cs="Calibri"/>
          <w:b/>
          <w:noProof/>
          <w:sz w:val="26"/>
          <w:szCs w:val="26"/>
        </w:rPr>
        <w:drawing>
          <wp:inline distT="0" distB="0" distL="0" distR="0" wp14:anchorId="46747534" wp14:editId="49D28058">
            <wp:extent cx="5191125" cy="44806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7.3.1 snip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448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5C5C">
        <w:rPr>
          <w:rFonts w:ascii="Garamond" w:hAnsi="Garamond" w:cs="Calibri"/>
          <w:b/>
          <w:sz w:val="26"/>
          <w:szCs w:val="26"/>
        </w:rPr>
        <w:br/>
      </w:r>
    </w:p>
    <w:p w14:paraId="1B2AECE6" w14:textId="77777777" w:rsidR="00A01D21" w:rsidRDefault="00A01D21">
      <w:pPr>
        <w:widowControl/>
        <w:spacing w:after="160" w:line="259" w:lineRule="auto"/>
        <w:rPr>
          <w:rFonts w:ascii="Garamond" w:hAnsi="Garamond" w:cs="Calibri"/>
          <w:b/>
          <w:sz w:val="26"/>
          <w:szCs w:val="26"/>
        </w:rPr>
      </w:pPr>
      <w:r>
        <w:rPr>
          <w:rFonts w:ascii="Garamond" w:hAnsi="Garamond" w:cs="Calibri"/>
          <w:b/>
          <w:sz w:val="26"/>
          <w:szCs w:val="26"/>
        </w:rPr>
        <w:br w:type="page"/>
      </w:r>
    </w:p>
    <w:p w14:paraId="6D2A8A9B" w14:textId="72C56E71" w:rsidR="00CA258F" w:rsidRPr="00A1083D" w:rsidRDefault="00CA258F" w:rsidP="00CA258F">
      <w:pPr>
        <w:pStyle w:val="ListParagraph"/>
        <w:numPr>
          <w:ilvl w:val="0"/>
          <w:numId w:val="14"/>
        </w:numPr>
        <w:ind w:left="450" w:hanging="450"/>
        <w:rPr>
          <w:rFonts w:ascii="Garamond" w:hAnsi="Garamond" w:cs="Calibri"/>
          <w:b/>
          <w:sz w:val="26"/>
          <w:szCs w:val="26"/>
        </w:rPr>
      </w:pPr>
      <w:r w:rsidRPr="00A1083D">
        <w:rPr>
          <w:rFonts w:ascii="Garamond" w:hAnsi="Garamond" w:cs="Calibri"/>
          <w:b/>
          <w:sz w:val="26"/>
          <w:szCs w:val="26"/>
        </w:rPr>
        <w:lastRenderedPageBreak/>
        <w:t xml:space="preserve">The following edits have been made to </w:t>
      </w:r>
      <w:r w:rsidRPr="00CA258F">
        <w:rPr>
          <w:rFonts w:ascii="Garamond" w:hAnsi="Garamond" w:cs="Calibri"/>
          <w:b/>
          <w:sz w:val="26"/>
          <w:szCs w:val="26"/>
        </w:rPr>
        <w:t>Attachment K, Exhibit 3 Program Description and Covered Benefits</w:t>
      </w:r>
      <w:r w:rsidRPr="00A1083D">
        <w:rPr>
          <w:rFonts w:ascii="Garamond" w:hAnsi="Garamond" w:cs="Calibri"/>
          <w:b/>
          <w:sz w:val="26"/>
          <w:szCs w:val="26"/>
        </w:rPr>
        <w:t>:</w:t>
      </w:r>
    </w:p>
    <w:p w14:paraId="14145F70" w14:textId="77777777" w:rsidR="00CA258F" w:rsidRDefault="00CA258F" w:rsidP="00CA258F">
      <w:pPr>
        <w:rPr>
          <w:rFonts w:ascii="Garamond" w:hAnsi="Garamond" w:cs="Calibri"/>
          <w:b/>
          <w:sz w:val="28"/>
          <w:szCs w:val="28"/>
        </w:rPr>
      </w:pPr>
    </w:p>
    <w:p w14:paraId="4358536B" w14:textId="13D9B6BF" w:rsidR="00A01D21" w:rsidRDefault="00CA258F" w:rsidP="00A01D21">
      <w:pPr>
        <w:pStyle w:val="ListParagraph"/>
        <w:numPr>
          <w:ilvl w:val="0"/>
          <w:numId w:val="17"/>
        </w:numPr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t xml:space="preserve">In </w:t>
      </w:r>
      <w:r w:rsidRPr="00CA258F">
        <w:rPr>
          <w:rFonts w:ascii="Garamond" w:hAnsi="Garamond" w:cs="Calibri"/>
          <w:sz w:val="26"/>
          <w:szCs w:val="26"/>
        </w:rPr>
        <w:t>the Smoking Cessation and Tobacco Dependence Treatment Services row of Table 1: Hoosier Care Connect Benefits:</w:t>
      </w:r>
    </w:p>
    <w:p w14:paraId="224473F0" w14:textId="77777777" w:rsidR="00A01D21" w:rsidRPr="00A01D21" w:rsidRDefault="00A01D21" w:rsidP="00A01D21">
      <w:pPr>
        <w:pStyle w:val="ListParagraph"/>
        <w:rPr>
          <w:rFonts w:ascii="Garamond" w:hAnsi="Garamond" w:cs="Calibri"/>
          <w:sz w:val="26"/>
          <w:szCs w:val="26"/>
        </w:rPr>
      </w:pPr>
    </w:p>
    <w:p w14:paraId="0054DCAE" w14:textId="341EE15A" w:rsidR="00CA258F" w:rsidRPr="00CA258F" w:rsidRDefault="00A01D21" w:rsidP="00A01D21">
      <w:pPr>
        <w:ind w:left="720"/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noProof/>
          <w:sz w:val="26"/>
          <w:szCs w:val="26"/>
        </w:rPr>
        <w:drawing>
          <wp:inline distT="0" distB="0" distL="0" distR="0" wp14:anchorId="1FB7F724" wp14:editId="24BC9C50">
            <wp:extent cx="5876925" cy="35052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K _ 1 !!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" t="1" r="480" b="397"/>
                    <a:stretch/>
                  </pic:blipFill>
                  <pic:spPr bwMode="auto">
                    <a:xfrm>
                      <a:off x="0" y="0"/>
                      <a:ext cx="5876925" cy="350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6887B2" w14:textId="2ABD2089" w:rsidR="00CA258F" w:rsidRPr="003A5C5C" w:rsidRDefault="00A8249D" w:rsidP="00AA15C9">
      <w:pPr>
        <w:pStyle w:val="ListParagraph"/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br/>
      </w:r>
      <w:bookmarkStart w:id="1" w:name="_GoBack"/>
      <w:bookmarkEnd w:id="1"/>
    </w:p>
    <w:p w14:paraId="2527ACBE" w14:textId="7CEA7D9A" w:rsidR="00A10139" w:rsidRPr="00A1083D" w:rsidRDefault="00A10139" w:rsidP="003A5C5C">
      <w:pPr>
        <w:pStyle w:val="ListParagraph"/>
        <w:numPr>
          <w:ilvl w:val="0"/>
          <w:numId w:val="14"/>
        </w:numPr>
        <w:ind w:left="450" w:hanging="450"/>
        <w:rPr>
          <w:rFonts w:ascii="Garamond" w:hAnsi="Garamond" w:cs="Calibri"/>
          <w:b/>
          <w:sz w:val="26"/>
          <w:szCs w:val="26"/>
        </w:rPr>
      </w:pPr>
      <w:r w:rsidRPr="00A1083D">
        <w:rPr>
          <w:rFonts w:ascii="Garamond" w:hAnsi="Garamond" w:cs="Calibri"/>
          <w:b/>
          <w:sz w:val="26"/>
          <w:szCs w:val="26"/>
        </w:rPr>
        <w:t xml:space="preserve">The following edits have been made to </w:t>
      </w:r>
      <w:r w:rsidR="00663A34" w:rsidRPr="00663A34">
        <w:rPr>
          <w:rFonts w:ascii="Garamond" w:hAnsi="Garamond" w:cs="Calibri"/>
          <w:b/>
          <w:sz w:val="26"/>
          <w:szCs w:val="26"/>
        </w:rPr>
        <w:t>Attachment M</w:t>
      </w:r>
      <w:r w:rsidR="00663A34">
        <w:rPr>
          <w:rFonts w:ascii="Garamond" w:hAnsi="Garamond" w:cs="Calibri"/>
          <w:b/>
          <w:sz w:val="26"/>
          <w:szCs w:val="26"/>
        </w:rPr>
        <w:t>,</w:t>
      </w:r>
      <w:r w:rsidR="00663A34" w:rsidRPr="00663A34">
        <w:rPr>
          <w:rFonts w:ascii="Garamond" w:hAnsi="Garamond" w:cs="Calibri"/>
          <w:b/>
          <w:sz w:val="26"/>
          <w:szCs w:val="26"/>
        </w:rPr>
        <w:t xml:space="preserve"> Exhibit 5 Capitation Rates</w:t>
      </w:r>
      <w:r w:rsidRPr="00A1083D">
        <w:rPr>
          <w:rFonts w:ascii="Garamond" w:hAnsi="Garamond" w:cs="Calibri"/>
          <w:b/>
          <w:sz w:val="26"/>
          <w:szCs w:val="26"/>
        </w:rPr>
        <w:t>:</w:t>
      </w:r>
    </w:p>
    <w:p w14:paraId="7E1AAF04" w14:textId="77777777" w:rsidR="00A10139" w:rsidRDefault="00A10139" w:rsidP="00A10139">
      <w:pPr>
        <w:rPr>
          <w:rFonts w:ascii="Garamond" w:hAnsi="Garamond" w:cs="Calibri"/>
          <w:b/>
          <w:sz w:val="28"/>
          <w:szCs w:val="28"/>
        </w:rPr>
      </w:pPr>
    </w:p>
    <w:p w14:paraId="028F4BBD" w14:textId="5FBD1914" w:rsidR="00A10139" w:rsidRPr="001C56A9" w:rsidRDefault="00A10139" w:rsidP="00CA258F">
      <w:pPr>
        <w:pStyle w:val="ListParagraph"/>
        <w:numPr>
          <w:ilvl w:val="0"/>
          <w:numId w:val="18"/>
        </w:numPr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t xml:space="preserve">In </w:t>
      </w:r>
      <w:r w:rsidRPr="00A10139">
        <w:rPr>
          <w:rFonts w:ascii="Garamond" w:hAnsi="Garamond" w:cs="Calibri"/>
          <w:sz w:val="26"/>
          <w:szCs w:val="26"/>
        </w:rPr>
        <w:t>Note on Incentive Payment Withholding</w:t>
      </w:r>
      <w:r>
        <w:rPr>
          <w:rFonts w:ascii="Garamond" w:hAnsi="Garamond" w:cs="Calibri"/>
          <w:sz w:val="26"/>
          <w:szCs w:val="26"/>
        </w:rPr>
        <w:t>:</w:t>
      </w:r>
      <w:r>
        <w:rPr>
          <w:rFonts w:ascii="Garamond" w:hAnsi="Garamond" w:cs="Calibri"/>
          <w:sz w:val="26"/>
          <w:szCs w:val="26"/>
        </w:rPr>
        <w:br/>
      </w:r>
      <w:r w:rsidR="0074624D">
        <w:rPr>
          <w:rFonts w:ascii="Garamond" w:hAnsi="Garamond" w:cs="Calibri"/>
          <w:noProof/>
          <w:sz w:val="26"/>
          <w:szCs w:val="26"/>
        </w:rPr>
        <w:drawing>
          <wp:inline distT="0" distB="0" distL="0" distR="0" wp14:anchorId="1F4783E2" wp14:editId="1B38B52B">
            <wp:extent cx="5943600" cy="115189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 w:cs="Calibri"/>
          <w:sz w:val="26"/>
          <w:szCs w:val="26"/>
        </w:rPr>
        <w:br/>
      </w:r>
    </w:p>
    <w:p w14:paraId="0B3694B8" w14:textId="67BC1660" w:rsidR="00A1083D" w:rsidRPr="00A1083D" w:rsidRDefault="00A1083D" w:rsidP="00A10139">
      <w:pPr>
        <w:pStyle w:val="ListParagraph"/>
        <w:numPr>
          <w:ilvl w:val="0"/>
          <w:numId w:val="14"/>
        </w:numPr>
        <w:ind w:left="450" w:hanging="450"/>
        <w:rPr>
          <w:rFonts w:ascii="Garamond" w:hAnsi="Garamond" w:cs="Calibri"/>
          <w:b/>
          <w:sz w:val="26"/>
          <w:szCs w:val="26"/>
        </w:rPr>
      </w:pPr>
      <w:r w:rsidRPr="00A1083D">
        <w:rPr>
          <w:rFonts w:ascii="Garamond" w:hAnsi="Garamond" w:cs="Calibri"/>
          <w:b/>
          <w:sz w:val="26"/>
          <w:szCs w:val="26"/>
        </w:rPr>
        <w:t>The following edits have been made to Attachment O, Capitation Rate Data Book:</w:t>
      </w:r>
    </w:p>
    <w:p w14:paraId="47F3FC75" w14:textId="77777777" w:rsidR="00A1083D" w:rsidRDefault="00A1083D" w:rsidP="00A1083D">
      <w:pPr>
        <w:rPr>
          <w:rFonts w:ascii="Garamond" w:hAnsi="Garamond" w:cs="Calibri"/>
          <w:b/>
          <w:sz w:val="28"/>
          <w:szCs w:val="28"/>
        </w:rPr>
      </w:pPr>
    </w:p>
    <w:p w14:paraId="7628F562" w14:textId="0FAE629F" w:rsidR="00A1083D" w:rsidRPr="00CA6994" w:rsidRDefault="00A1083D" w:rsidP="00A10139">
      <w:pPr>
        <w:pStyle w:val="ListParagraph"/>
        <w:numPr>
          <w:ilvl w:val="0"/>
          <w:numId w:val="16"/>
        </w:numPr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t xml:space="preserve">In Section </w:t>
      </w:r>
      <w:proofErr w:type="gramStart"/>
      <w:r>
        <w:rPr>
          <w:rFonts w:ascii="Garamond" w:hAnsi="Garamond" w:cs="Calibri"/>
          <w:sz w:val="26"/>
          <w:szCs w:val="26"/>
        </w:rPr>
        <w:t>I.4.iii.(</w:t>
      </w:r>
      <w:proofErr w:type="gramEnd"/>
      <w:r>
        <w:rPr>
          <w:rFonts w:ascii="Garamond" w:hAnsi="Garamond" w:cs="Calibri"/>
          <w:sz w:val="26"/>
          <w:szCs w:val="26"/>
        </w:rPr>
        <w:t>c)</w:t>
      </w:r>
      <w:r w:rsidR="00663A34">
        <w:rPr>
          <w:rFonts w:ascii="Garamond" w:hAnsi="Garamond" w:cs="Calibri"/>
          <w:sz w:val="26"/>
          <w:szCs w:val="26"/>
        </w:rPr>
        <w:t xml:space="preserve"> </w:t>
      </w:r>
      <w:r w:rsidRPr="00A1083D">
        <w:rPr>
          <w:rFonts w:ascii="Garamond" w:hAnsi="Garamond" w:cs="Calibri"/>
          <w:sz w:val="26"/>
          <w:szCs w:val="26"/>
        </w:rPr>
        <w:t>Reinsurance Requirements and Effect on Capitation Rates</w:t>
      </w:r>
      <w:r w:rsidR="00BF5A5B">
        <w:rPr>
          <w:rFonts w:ascii="Garamond" w:hAnsi="Garamond" w:cs="Calibri"/>
          <w:sz w:val="26"/>
          <w:szCs w:val="26"/>
        </w:rPr>
        <w:t>:</w:t>
      </w:r>
    </w:p>
    <w:p w14:paraId="288FE93F" w14:textId="33F3ECA8" w:rsidR="00A1083D" w:rsidRDefault="00A1083D" w:rsidP="00183198">
      <w:pPr>
        <w:rPr>
          <w:rFonts w:ascii="Garamond" w:hAnsi="Garamond" w:cs="Calibri"/>
          <w:sz w:val="26"/>
          <w:szCs w:val="26"/>
        </w:rPr>
      </w:pPr>
    </w:p>
    <w:p w14:paraId="26DDF2E0" w14:textId="6C6BA007" w:rsidR="00A1083D" w:rsidRDefault="00BF5A5B" w:rsidP="00BF5A5B">
      <w:pPr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noProof/>
          <w:sz w:val="26"/>
          <w:szCs w:val="26"/>
        </w:rPr>
        <w:lastRenderedPageBreak/>
        <w:drawing>
          <wp:inline distT="0" distB="0" distL="0" distR="0" wp14:anchorId="4368909B" wp14:editId="01852867">
            <wp:extent cx="5943600" cy="158623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19-11-20 at 7.47.48 PM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B0324" w14:textId="2D445C70" w:rsidR="00097604" w:rsidRDefault="00097604" w:rsidP="00183198">
      <w:pPr>
        <w:rPr>
          <w:rFonts w:ascii="Garamond" w:hAnsi="Garamond" w:cs="Calibri"/>
          <w:sz w:val="26"/>
          <w:szCs w:val="26"/>
        </w:rPr>
      </w:pPr>
    </w:p>
    <w:p w14:paraId="5C2AE93F" w14:textId="0E05B9B1" w:rsidR="00652C71" w:rsidRPr="00652C71" w:rsidRDefault="00652C71" w:rsidP="00652C71">
      <w:pPr>
        <w:rPr>
          <w:rFonts w:ascii="Garamond" w:hAnsi="Garamond"/>
          <w:sz w:val="26"/>
          <w:szCs w:val="26"/>
        </w:rPr>
      </w:pPr>
    </w:p>
    <w:sectPr w:rsidR="00652C71" w:rsidRPr="00652C71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E2670" w14:textId="77777777" w:rsidR="003D416F" w:rsidRDefault="003D416F" w:rsidP="00060BB4">
      <w:r>
        <w:separator/>
      </w:r>
    </w:p>
  </w:endnote>
  <w:endnote w:type="continuationSeparator" w:id="0">
    <w:p w14:paraId="161DED75" w14:textId="77777777" w:rsidR="003D416F" w:rsidRDefault="003D416F" w:rsidP="0006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145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861F97" w14:textId="4005A4A3" w:rsidR="00060BB4" w:rsidRDefault="00060B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7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7C2BE7" w14:textId="77777777" w:rsidR="00060BB4" w:rsidRDefault="00060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E1F64" w14:textId="77777777" w:rsidR="003D416F" w:rsidRDefault="003D416F" w:rsidP="00060BB4">
      <w:r>
        <w:separator/>
      </w:r>
    </w:p>
  </w:footnote>
  <w:footnote w:type="continuationSeparator" w:id="0">
    <w:p w14:paraId="2D443027" w14:textId="77777777" w:rsidR="003D416F" w:rsidRDefault="003D416F" w:rsidP="00060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46EB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73ED3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731C5"/>
    <w:multiLevelType w:val="hybridMultilevel"/>
    <w:tmpl w:val="1BDE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014FE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376D8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D7AE2"/>
    <w:multiLevelType w:val="hybridMultilevel"/>
    <w:tmpl w:val="F5EACE50"/>
    <w:lvl w:ilvl="0" w:tplc="E83026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1FDA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D49A1"/>
    <w:multiLevelType w:val="hybridMultilevel"/>
    <w:tmpl w:val="122C6C82"/>
    <w:lvl w:ilvl="0" w:tplc="360CCE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739B5"/>
    <w:multiLevelType w:val="hybridMultilevel"/>
    <w:tmpl w:val="54D28516"/>
    <w:lvl w:ilvl="0" w:tplc="4C6411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8C3EA1"/>
    <w:multiLevelType w:val="hybridMultilevel"/>
    <w:tmpl w:val="BADC1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254D4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38D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966A5"/>
    <w:multiLevelType w:val="hybridMultilevel"/>
    <w:tmpl w:val="C966C296"/>
    <w:lvl w:ilvl="0" w:tplc="E25C8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05580"/>
    <w:multiLevelType w:val="hybridMultilevel"/>
    <w:tmpl w:val="9E6AD3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878AA"/>
    <w:multiLevelType w:val="hybridMultilevel"/>
    <w:tmpl w:val="518E0FC8"/>
    <w:lvl w:ilvl="0" w:tplc="E83026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C4A9E"/>
    <w:multiLevelType w:val="hybridMultilevel"/>
    <w:tmpl w:val="061A94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B4DFC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364DF"/>
    <w:multiLevelType w:val="hybridMultilevel"/>
    <w:tmpl w:val="F5BE35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7"/>
  </w:num>
  <w:num w:numId="5">
    <w:abstractNumId w:val="2"/>
  </w:num>
  <w:num w:numId="6">
    <w:abstractNumId w:val="6"/>
  </w:num>
  <w:num w:numId="7">
    <w:abstractNumId w:val="12"/>
  </w:num>
  <w:num w:numId="8">
    <w:abstractNumId w:val="11"/>
  </w:num>
  <w:num w:numId="9">
    <w:abstractNumId w:val="0"/>
  </w:num>
  <w:num w:numId="10">
    <w:abstractNumId w:val="9"/>
  </w:num>
  <w:num w:numId="11">
    <w:abstractNumId w:val="13"/>
  </w:num>
  <w:num w:numId="12">
    <w:abstractNumId w:val="14"/>
  </w:num>
  <w:num w:numId="13">
    <w:abstractNumId w:val="5"/>
  </w:num>
  <w:num w:numId="14">
    <w:abstractNumId w:val="8"/>
  </w:num>
  <w:num w:numId="15">
    <w:abstractNumId w:val="10"/>
  </w:num>
  <w:num w:numId="16">
    <w:abstractNumId w:val="4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98"/>
    <w:rsid w:val="000375FC"/>
    <w:rsid w:val="00060BB4"/>
    <w:rsid w:val="000855F7"/>
    <w:rsid w:val="00097604"/>
    <w:rsid w:val="000A7F96"/>
    <w:rsid w:val="00103580"/>
    <w:rsid w:val="0012693E"/>
    <w:rsid w:val="001356C4"/>
    <w:rsid w:val="001459AF"/>
    <w:rsid w:val="00183198"/>
    <w:rsid w:val="00185661"/>
    <w:rsid w:val="0019436E"/>
    <w:rsid w:val="001C2D72"/>
    <w:rsid w:val="001C56A9"/>
    <w:rsid w:val="001D749D"/>
    <w:rsid w:val="001F2AAA"/>
    <w:rsid w:val="001F6629"/>
    <w:rsid w:val="00203FEC"/>
    <w:rsid w:val="0027478D"/>
    <w:rsid w:val="00290E59"/>
    <w:rsid w:val="00297B2C"/>
    <w:rsid w:val="002A1B65"/>
    <w:rsid w:val="002B5733"/>
    <w:rsid w:val="002D09AE"/>
    <w:rsid w:val="002D5F5B"/>
    <w:rsid w:val="00313C9B"/>
    <w:rsid w:val="00323D33"/>
    <w:rsid w:val="003A5C5C"/>
    <w:rsid w:val="003C0815"/>
    <w:rsid w:val="003C1AA7"/>
    <w:rsid w:val="003D416F"/>
    <w:rsid w:val="003F26C2"/>
    <w:rsid w:val="00417419"/>
    <w:rsid w:val="00475EBF"/>
    <w:rsid w:val="00543962"/>
    <w:rsid w:val="005504FF"/>
    <w:rsid w:val="00562767"/>
    <w:rsid w:val="00595BAF"/>
    <w:rsid w:val="005A2A22"/>
    <w:rsid w:val="005B1595"/>
    <w:rsid w:val="005C4715"/>
    <w:rsid w:val="00652C71"/>
    <w:rsid w:val="00663A34"/>
    <w:rsid w:val="0069576F"/>
    <w:rsid w:val="006D7AD5"/>
    <w:rsid w:val="00714FD5"/>
    <w:rsid w:val="00721522"/>
    <w:rsid w:val="0074624D"/>
    <w:rsid w:val="0077323F"/>
    <w:rsid w:val="00791708"/>
    <w:rsid w:val="00793E0D"/>
    <w:rsid w:val="007A4EBE"/>
    <w:rsid w:val="008E2DD1"/>
    <w:rsid w:val="00916F02"/>
    <w:rsid w:val="00940930"/>
    <w:rsid w:val="00972515"/>
    <w:rsid w:val="00982DE2"/>
    <w:rsid w:val="00985338"/>
    <w:rsid w:val="009C1BC9"/>
    <w:rsid w:val="00A01D21"/>
    <w:rsid w:val="00A10139"/>
    <w:rsid w:val="00A1083D"/>
    <w:rsid w:val="00A17E6C"/>
    <w:rsid w:val="00A24F01"/>
    <w:rsid w:val="00A34FB2"/>
    <w:rsid w:val="00A76E7F"/>
    <w:rsid w:val="00A8249D"/>
    <w:rsid w:val="00AA15C9"/>
    <w:rsid w:val="00AB63A9"/>
    <w:rsid w:val="00B05161"/>
    <w:rsid w:val="00B11B1D"/>
    <w:rsid w:val="00B3783E"/>
    <w:rsid w:val="00BF5A5B"/>
    <w:rsid w:val="00C138AF"/>
    <w:rsid w:val="00C45AD7"/>
    <w:rsid w:val="00C5766A"/>
    <w:rsid w:val="00CA258F"/>
    <w:rsid w:val="00CA6994"/>
    <w:rsid w:val="00CD01D5"/>
    <w:rsid w:val="00CE63C5"/>
    <w:rsid w:val="00D3136A"/>
    <w:rsid w:val="00D34110"/>
    <w:rsid w:val="00DB4977"/>
    <w:rsid w:val="00DF0619"/>
    <w:rsid w:val="00E32D86"/>
    <w:rsid w:val="00E33844"/>
    <w:rsid w:val="00E73604"/>
    <w:rsid w:val="00E740AC"/>
    <w:rsid w:val="00EA2D82"/>
    <w:rsid w:val="00F546A1"/>
    <w:rsid w:val="00FE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1272"/>
  <w15:chartTrackingRefBased/>
  <w15:docId w15:val="{F57E4F56-344E-4A84-88D7-D1F0CC4F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198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198"/>
    <w:pPr>
      <w:ind w:left="720"/>
      <w:contextualSpacing/>
    </w:pPr>
  </w:style>
  <w:style w:type="character" w:styleId="Hyperlink">
    <w:name w:val="Hyperlink"/>
    <w:uiPriority w:val="99"/>
    <w:rsid w:val="00E740A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54396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BB4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6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BB4"/>
    <w:rPr>
      <w:rFonts w:ascii="Courier" w:eastAsia="Times New Roman" w:hAnsi="Courier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10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8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83D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83D"/>
    <w:rPr>
      <w:rFonts w:ascii="Courier" w:eastAsia="Times New Roman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83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83D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Blake Emmerson</cp:lastModifiedBy>
  <cp:revision>2</cp:revision>
  <dcterms:created xsi:type="dcterms:W3CDTF">2019-11-22T19:58:00Z</dcterms:created>
  <dcterms:modified xsi:type="dcterms:W3CDTF">2019-11-22T19:58:00Z</dcterms:modified>
</cp:coreProperties>
</file>